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DB" w:rsidRPr="002731DB" w:rsidRDefault="002731DB" w:rsidP="0027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Lelkészi szolgálatot segítő kommentárok</w:t>
      </w:r>
    </w:p>
    <w:p w:rsidR="002731DB" w:rsidRDefault="002731DB" w:rsidP="0027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1DB" w:rsidRDefault="002731DB" w:rsidP="0027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tudod, melyik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kommentárhoz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könyvhöz nyúlj prédikációíráskor? Az általad ismertek, és eddig használtak nem igazán nyújtanak hathatós segítséget? Az Igazság és Élet folyóirat bemutatása után, most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kommentár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-listát ajánlunk számotokra.</w:t>
      </w:r>
    </w:p>
    <w:p w:rsidR="002731DB" w:rsidRDefault="002731DB" w:rsidP="0027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1DB" w:rsidRDefault="002731DB" w:rsidP="0027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Annak érdekében, hogy lelkészi szolgálatunk során tudjuk, melyik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kommentárt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érdemes beszerezni, vagy levenni a könyvtár polcairól, megkértük tisztelt oktatóinkat, ajánljanak számunkra néhányat. Így biztosak lehetünk benne, hogy az itt közölt szakirodalom friss és minőségi. Mint a jó hús. </w:t>
      </w: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Wingdings" w:char="F04A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Így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prédikációink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számára is jó alapanyagként szolgálnak.</w:t>
      </w:r>
    </w:p>
    <w:p w:rsidR="002731DB" w:rsidRDefault="002731DB" w:rsidP="0027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1DB" w:rsidRDefault="002731DB" w:rsidP="0027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Ezúton köszönjük segítőkész oktatóink, Dr. Németh Áronnak és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Kókai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 Viktornak, hogy időt szánva összeírták számunkra a könyveket, sőt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Kókai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tanár úr rövid ajánlásokat is készített. Valamint köszönjük Papp Laura munkáját, aki oktatóinkkal tartotta a kapcsolatot, kérésünk továbbította, s a listát a Közlöny számára eljuttatta.</w:t>
      </w:r>
    </w:p>
    <w:p w:rsidR="002731DB" w:rsidRDefault="002731DB" w:rsidP="0027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1DB" w:rsidRPr="002731DB" w:rsidRDefault="002731DB" w:rsidP="0027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Ószövetség:</w:t>
      </w:r>
    </w:p>
    <w:p w:rsid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nyelven csak elszórtan vannak jól használ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ható (részletesebb) kommentárok</w:t>
      </w: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Íme</w:t>
      </w:r>
      <w:proofErr w:type="gram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néhány:</w:t>
      </w: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Kustár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Péter: Krónikák első és második könyvének magyarázata</w:t>
      </w: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Hodossy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-Takács Előd: A túlélés kora: a Bírák könyve magyarázata igehirdetési vázlatokkal</w:t>
      </w: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Enghy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Sándor: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Zofóniás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: filológiai </w:t>
      </w:r>
      <w:proofErr w:type="gram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kommentár</w:t>
      </w:r>
      <w:proofErr w:type="gramEnd"/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Egeresi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Sándor: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Ruth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könyve</w:t>
      </w: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Muntag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Andor: Jób könyve: fordítás és magyarázat</w:t>
      </w: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Karasszon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Dezső: A Sinai-perikópa válogatott részeinek magyarázata: Előadások az ószövetségi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irásmagyarázat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köréből: Ex 19; 20; 24; 32; 33. rész /</w:t>
      </w: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Karasszon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Dezső: Ezékiel könyvének magyarázata /</w:t>
      </w: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Czanik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Péter: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Hóseás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könyvének magyarázata</w:t>
      </w: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Czanik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Péter: Ézsaiás könyvének magyaráza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</w:t>
      </w: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: 1-12.fejezet</w:t>
      </w: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Czanik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Péter: Ézsaiás könyvének magyarázata: 13-39.fejezet</w:t>
      </w: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Czanik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Péter: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Ámósz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Abdiás könyvének magyarázata /</w:t>
      </w: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Rózsa Huba: A világ és az emberiség eredete a Bibliában: a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Ter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1-11 magyarázata /</w:t>
      </w: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- Tóth: Kálmán: Magyarázat a Bírák könyve 6-8. részéhez /</w:t>
      </w: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Tóth: Kálmán: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Magyarázat Sámuel I. könyve 1-4. és 7. részéhez /</w:t>
      </w: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Tóth: Kálmán: Magyarázó jegyzetek Illés próféta történetéhez /</w:t>
      </w: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Tóth: Kálmán: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Exodus 1-4. rész exegézise /</w:t>
      </w: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Tóth: Kálmán: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Hóseás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próféta könyve 1-6. részének magyarázata /</w:t>
      </w: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Pálfy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MIklós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: A Zsoltárok könyve: Válogatott zsoltárok magyarázata / </w:t>
      </w: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Idegen (német) nyelvű kommentárok közül az alábbi sorozatoknak folyamatosan beszerezzük az újabb megjelenő köteteit. Nagyon jó forrást jelentenek minden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exegetikai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kutatáshoz:</w:t>
      </w: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Herders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Theologische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Kommentar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Testament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Bibli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Kommentar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Testament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Die Neue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Echter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-Bibel.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Kommentar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zum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Alten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stament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Einheitsübersetzung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Alte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Testament</w:t>
      </w:r>
      <w:proofErr w:type="spellEnd"/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Deutsch</w:t>
      </w: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Németh Áron tanácsa: Kommentár</w:t>
      </w:r>
      <w:r w:rsidRPr="002731DB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választásnál két dologra érdemes törekedni: le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gyen minél bővebb, minél újabb.</w:t>
      </w: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1DB" w:rsidRPr="002731DB" w:rsidRDefault="002731DB" w:rsidP="0027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Újszövetség:</w:t>
      </w:r>
    </w:p>
    <w:p w:rsidR="002731DB" w:rsidRPr="002731DB" w:rsidRDefault="002731DB" w:rsidP="0027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1</w:t>
      </w: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Cseháti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Sándor, Pál apostolnak a korinthusiakhoz írt első levele, Luther Kiadó, Budapest, 2008. (876 pp.); Pál apostolnak a korinthusiakhoz írt második levele, Luther Kiadó, Budapest, 2009. (500 pp.)</w:t>
      </w:r>
      <w:bookmarkStart w:id="0" w:name="_GoBack"/>
      <w:bookmarkEnd w:id="0"/>
    </w:p>
    <w:p w:rsid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Cserháti Sándor nyugalmazott professzor a Budapesti Evangélikus Teológián tanított nyugdíjazásáig. Az 1-2. Korinthusi levelekhez írt </w:t>
      </w:r>
      <w:proofErr w:type="gram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kommentárja</w:t>
      </w:r>
      <w:proofErr w:type="gram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precízen összegyűjtött anyag a megírásig megjelent szakirodalom felhasználásával. A kötetekben Cserháti számos fordítási nehézségre is felhívj a figyelmet és saját fordításával igyekszik megkönnyíteni a megértést. Mégsem ezt tarthatjuk a kötetek legfőbb erényének sokkal inkább a különféle értelmezések bemutatását és a szerző határozott állásfoglalását egy-egy értelmezés mellett. Úgy vélhetjük, hogy </w:t>
      </w:r>
      <w:proofErr w:type="gram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kommentárjai</w:t>
      </w:r>
      <w:proofErr w:type="gram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nagyon hasznos darabjai lehetnek minden gyakorló lelkész kézikönyvtárának.</w:t>
      </w:r>
    </w:p>
    <w:p w:rsid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</w:t>
      </w: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Jörg Frey, Der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Brief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des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Judas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und der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zweite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Brief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des Petrus (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ThNT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15/II.),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Evangelische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Verlagsanstalt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Leipzig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 2016. (366 pp.)</w:t>
      </w: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Jörg Frey napjaink egyik kiemelkedő újszövetségese. Martin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Hengel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tanítványaként mindig fontosnak érezte kiemelni az Újszövetség iratainak zsidósághoz való kötődését. Nem véletlen, hogy éppen Júdás leveléhez és Péter második leveléhez írt </w:t>
      </w:r>
      <w:proofErr w:type="gram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kommentárját</w:t>
      </w:r>
      <w:proofErr w:type="gram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ajánljuk, hiszen ennek a két iratnak a pontos megértéséhez elengedhetetlen a zsidó (bibliai és apokrif) irodalom ismerete.</w:t>
      </w: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Maga a sorozat (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Theologischer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Handkommentar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zum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Neuen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Testament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) </w:t>
      </w:r>
      <w:proofErr w:type="gram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garantálja</w:t>
      </w:r>
      <w:proofErr w:type="gram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 hogy a kötet, noha alapos tudományossággal készül, mégis kiválóan használható a lelkészi munkában is, mivel terjedelmében és a témák kidolgozásában szem előtt tartja a gyakorlati bibliamagyarázat fontosságát.</w:t>
      </w: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3</w:t>
      </w: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Steve Mason, </w:t>
      </w:r>
      <w:proofErr w:type="gram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</w:t>
      </w:r>
      <w:proofErr w:type="gram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History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of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the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Jewish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War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(AD. 66-74), Cambridge University Press, Cambridge, 2016. (689 pp.)</w:t>
      </w: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Steve Mason nagy szakértője ennek a korszaknak, hiszen számos publikációja jelent meg erről az időszakról, különösen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Josephus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műveiről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A zsidóság történetének ez a nyolc éve nem csupán az Újszövetség keletkezési idejének megértéséhez és a zsidóság gondolkodásának feltérképezéséhez elengedhetetlenül fontos, de a világtörténelem </w:t>
      </w:r>
      <w:proofErr w:type="gram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ezen</w:t>
      </w:r>
      <w:proofErr w:type="gram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szakaszának is jelentős eseménye. Mason műve azonban nem csupán a zsidó szemszögből veszi nagyító alá a történelmet, hanem annak a rómaiak gondolkodására tett hatását is szem előtt tartja. Ez a kettő világszemlélet pedig ott bábáskodott a keresztyénség megszületésénél.</w:t>
      </w: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könyvet főképpen azoknak ajánlhatjuk, akik ezzel a korszakkal, vagy az ebben a korban keletkezett újszövetségi iratokkal kívánnak elmélyültebben foglalkozni. Illetve azoknak is, akiket általában érdekel a történelem.</w:t>
      </w: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4. 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Udo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Schnelle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Die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ersten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100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Jahre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des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Christentums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Vandenhoeck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&amp;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Ruprecht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 Göttingen, 2015.(562 pp.)</w:t>
      </w: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lastRenderedPageBreak/>
        <w:t xml:space="preserve">Amikor a kezünkbe vesszük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Udo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Schnelle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legutóbbi könyvét és esetleg a név nem ismerős számunkra, ugyanakkor valamit konyítunk a teológiához, akkor már eleve azzal az elvárással kezdjük el forgatni a lapokat, hogy egy roppant érdekes korszak vizsgálatát tűzte ki célul a szerző. Ha pedig arra is vesszük a fáradtságot, hogy a tartalomjegyzéket átböngésszük, akkor arról is meggyőződhetünk, hogy a szerző érti is a dolgát, hiszen a könyv </w:t>
      </w:r>
      <w:proofErr w:type="gram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struktúrája</w:t>
      </w:r>
      <w:proofErr w:type="gram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logikus rendben tárja elénk a keresztyénség kialakulását és fejlődését a Kr.u. 30 és 130 közé eső időszakban.</w:t>
      </w: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5.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Vítor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Hugo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Schell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Die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Aeropagrede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des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Paulus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und Reden bei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Josephus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(WUNT 2/419.),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Mohr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Siebeck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 Tübingen, 2016. (317 pp.)</w:t>
      </w: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2731DB" w:rsidRPr="002731DB" w:rsidRDefault="002731DB" w:rsidP="00B17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mű előszava szerint, a tanulmány ahhoz az eszmecseréhez szeretne hozzájárulni, amely e két </w:t>
      </w:r>
      <w:proofErr w:type="gram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hellenista-zsidó szerző</w:t>
      </w:r>
      <w:proofErr w:type="gram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Lukács és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Josephus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közötti kapcsolatot kutatja. Ezt a célt pedig az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Aeropagoszi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beszéd és a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Josephus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műveiben megjelenő beszédek összehasonlításán keresztül kívánja elérni, hiszen mindkét szerző a beszédeket, mint irodalmi formákat tudatosan alkalmazza műveiben. A kötet kiváló példája a vallástörténet és az </w:t>
      </w:r>
      <w:proofErr w:type="spellStart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egzegézis</w:t>
      </w:r>
      <w:proofErr w:type="spellEnd"/>
      <w:r w:rsidRPr="002731D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együttműködésének.</w:t>
      </w:r>
    </w:p>
    <w:p w:rsidR="008F3EAF" w:rsidRPr="002731DB" w:rsidRDefault="008F3EAF" w:rsidP="00273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3EAF" w:rsidRPr="0027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DB"/>
    <w:rsid w:val="002731DB"/>
    <w:rsid w:val="008F3EAF"/>
    <w:rsid w:val="00B1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054A"/>
  <w15:chartTrackingRefBased/>
  <w15:docId w15:val="{2260B980-DFDC-4B91-9AD9-F3BC1270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832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Olvasó</dc:creator>
  <cp:keywords/>
  <dc:description/>
  <cp:lastModifiedBy>Olvasó</cp:lastModifiedBy>
  <cp:revision>1</cp:revision>
  <dcterms:created xsi:type="dcterms:W3CDTF">2017-04-25T07:33:00Z</dcterms:created>
  <dcterms:modified xsi:type="dcterms:W3CDTF">2017-04-25T07:44:00Z</dcterms:modified>
</cp:coreProperties>
</file>